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6D08" w14:textId="77777777" w:rsidR="005C3DE8" w:rsidRDefault="005C3DE8" w:rsidP="005C3DE8">
      <w:pPr>
        <w:spacing w:before="2"/>
        <w:ind w:left="2333" w:right="2337"/>
        <w:jc w:val="center"/>
        <w:rPr>
          <w:color w:val="000000"/>
          <w:sz w:val="28"/>
          <w:szCs w:val="28"/>
          <w:bdr w:val="none" w:sz="0" w:space="0" w:color="auto" w:frame="1"/>
          <w:lang w:val="pt-PT"/>
        </w:rPr>
      </w:pPr>
    </w:p>
    <w:p w14:paraId="79BE0234" w14:textId="77777777" w:rsidR="00EE7B8B" w:rsidRDefault="00870D57">
      <w:pPr>
        <w:pStyle w:val="Standard"/>
        <w:jc w:val="center"/>
        <w:rPr>
          <w:rFonts w:ascii="Calibri-Bold" w:hAnsi="Calibri-Bold" w:hint="eastAsia"/>
          <w:b/>
        </w:rPr>
      </w:pPr>
      <w:r>
        <w:rPr>
          <w:rFonts w:ascii="Calibri-Bold" w:hAnsi="Calibri-Bold"/>
          <w:b/>
        </w:rPr>
        <w:t>CONTRATTO COLLETTIVO NAZIONALE DI LAVORO DEL COMPARTO ISTRUZIONE E RICERCA PERIODO 2019-2021</w:t>
      </w:r>
    </w:p>
    <w:p w14:paraId="09678279" w14:textId="77777777" w:rsidR="00EE7B8B" w:rsidRDefault="00EE7B8B">
      <w:pPr>
        <w:pStyle w:val="Standard"/>
      </w:pPr>
    </w:p>
    <w:p w14:paraId="63051FEA" w14:textId="77777777" w:rsidR="00EE7B8B" w:rsidRDefault="00870D57">
      <w:pPr>
        <w:pStyle w:val="Standard"/>
        <w:jc w:val="center"/>
      </w:pPr>
      <w:r>
        <w:rPr>
          <w:rFonts w:ascii="Calibri-Bold" w:hAnsi="Calibri-Bold"/>
          <w:b/>
        </w:rPr>
        <w:t>Titolo III - I DOCENTI</w:t>
      </w:r>
    </w:p>
    <w:p w14:paraId="56A64A8B" w14:textId="77777777" w:rsidR="00EE7B8B" w:rsidRDefault="00EE7B8B">
      <w:pPr>
        <w:pStyle w:val="Standard"/>
      </w:pPr>
    </w:p>
    <w:p w14:paraId="44869DF9" w14:textId="77777777" w:rsidR="00EE7B8B" w:rsidRDefault="00870D57">
      <w:pPr>
        <w:pStyle w:val="Standard"/>
      </w:pPr>
      <w:r>
        <w:rPr>
          <w:rFonts w:ascii="Calibri-Bold" w:hAnsi="Calibri-Bold"/>
          <w:b/>
        </w:rPr>
        <w:t>Art. 48 - Responsabilità disciplinare per il personale docente ed educativo</w:t>
      </w:r>
    </w:p>
    <w:p w14:paraId="7B672D60" w14:textId="77777777" w:rsidR="00EE7B8B" w:rsidRDefault="00EE7B8B">
      <w:pPr>
        <w:pStyle w:val="Standard"/>
      </w:pPr>
    </w:p>
    <w:p w14:paraId="4044A680" w14:textId="77777777" w:rsidR="00EE7B8B" w:rsidRDefault="00870D57">
      <w:pPr>
        <w:pStyle w:val="Standard"/>
        <w:jc w:val="both"/>
      </w:pPr>
      <w:r>
        <w:rPr>
          <w:rFonts w:ascii="Calibri-Bold" w:hAnsi="Calibri-Bold"/>
        </w:rPr>
        <w:t xml:space="preserve">1. Le parti convengono sulla opportunità di rinviare ad una specifica sessione negoziale a livello nazionale la definizione, per il personale docente ed educativo delle istituzioni scolastiche, della tipologia delle infrazioni disciplinari e delle relative sanzioni, nonché l’individuazione di una procedura di conciliazione non obbligatoria, fermo restando che il soggetto responsabile del procedimento disciplinare deve in ogni caso assicurare che l'esercizio del potere disciplinare sia effettivamente rivolto alla repressione di condotte </w:t>
      </w:r>
      <w:proofErr w:type="spellStart"/>
      <w:r>
        <w:rPr>
          <w:rFonts w:ascii="Calibri-Bold" w:hAnsi="Calibri-Bold"/>
        </w:rPr>
        <w:t>antidoverose</w:t>
      </w:r>
      <w:proofErr w:type="spellEnd"/>
      <w:r>
        <w:rPr>
          <w:rFonts w:ascii="Calibri-Bold" w:hAnsi="Calibri-Bold"/>
        </w:rPr>
        <w:t xml:space="preserve"> dell'insegnante e non a sindacare, neppure indirettamente, la libertà di insegnamento.</w:t>
      </w:r>
    </w:p>
    <w:p w14:paraId="24B44243" w14:textId="77777777" w:rsidR="00EE7B8B" w:rsidRDefault="00870D57">
      <w:pPr>
        <w:pStyle w:val="Standard"/>
        <w:jc w:val="both"/>
      </w:pPr>
      <w:r>
        <w:rPr>
          <w:rFonts w:ascii="Calibri-Bold" w:hAnsi="Calibri-Bold"/>
        </w:rPr>
        <w:t>La sessione si conclude entro il mese di luglio 2024.</w:t>
      </w:r>
    </w:p>
    <w:p w14:paraId="325EBBF0" w14:textId="77777777" w:rsidR="00EE7B8B" w:rsidRDefault="00870D57">
      <w:pPr>
        <w:pStyle w:val="Standard"/>
        <w:jc w:val="both"/>
      </w:pPr>
      <w:r>
        <w:rPr>
          <w:rFonts w:ascii="Calibri-Bold" w:hAnsi="Calibri-Bold"/>
        </w:rPr>
        <w:t>2. La contrattazione di cui al comma 1 avviene nel rispetto di quanto previsto dal d.lgs. n. 165 del 2001 e deve tener conto delle sotto indicate specificazioni:</w:t>
      </w:r>
    </w:p>
    <w:p w14:paraId="775CB77B" w14:textId="77777777" w:rsidR="00EE7B8B" w:rsidRDefault="00870D57">
      <w:pPr>
        <w:pStyle w:val="Standard"/>
        <w:jc w:val="both"/>
      </w:pPr>
      <w:r>
        <w:rPr>
          <w:rFonts w:ascii="Calibri-Bold" w:hAnsi="Calibri-Bold"/>
        </w:rPr>
        <w:t>1) deve essere prevista la sanzione del licenziamento nelle seguenti ipotesi:</w:t>
      </w:r>
    </w:p>
    <w:p w14:paraId="3AF7ECF5" w14:textId="77777777" w:rsidR="00EE7B8B" w:rsidRDefault="00870D57">
      <w:pPr>
        <w:pStyle w:val="Standard"/>
        <w:jc w:val="both"/>
      </w:pPr>
      <w:r>
        <w:rPr>
          <w:rFonts w:ascii="Calibri-Bold" w:hAnsi="Calibri-Bold"/>
        </w:rPr>
        <w:t>a) atti, comportamenti o molestie a carattere sessuale, riguardanti studentesse o studenti affidati alla vigilanza del personale, anche ove non sussista la gravità o la reiterazione, dei comportamenti;</w:t>
      </w:r>
    </w:p>
    <w:p w14:paraId="544A55D5" w14:textId="77777777" w:rsidR="00EE7B8B" w:rsidRDefault="00870D57">
      <w:pPr>
        <w:pStyle w:val="Standard"/>
        <w:jc w:val="both"/>
      </w:pPr>
      <w:r>
        <w:rPr>
          <w:rFonts w:ascii="Calibri-Bold" w:hAnsi="Calibri-Bold"/>
        </w:rPr>
        <w:t>b) dichiarazioni false e mendaci, che abbiano l’effetto di far conseguire un vantaggio nelle procedure di mobilità territoriale o professionale;</w:t>
      </w:r>
    </w:p>
    <w:p w14:paraId="42CBBC9F" w14:textId="77777777" w:rsidR="00EE7B8B" w:rsidRDefault="00870D57">
      <w:pPr>
        <w:pStyle w:val="Standard"/>
        <w:jc w:val="both"/>
      </w:pPr>
      <w:r>
        <w:rPr>
          <w:rFonts w:ascii="Calibri-Bold" w:hAnsi="Calibri-Bold"/>
        </w:rPr>
        <w:t>2) occorre prevedere una specifica sanzione nel seguente caso:</w:t>
      </w:r>
    </w:p>
    <w:p w14:paraId="1D0FFD5A" w14:textId="77777777" w:rsidR="00EE7B8B" w:rsidRDefault="00870D57">
      <w:pPr>
        <w:pStyle w:val="Standard"/>
        <w:jc w:val="both"/>
      </w:pPr>
      <w:r>
        <w:rPr>
          <w:rFonts w:ascii="Calibri-Bold" w:hAnsi="Calibri-Bold"/>
        </w:rPr>
        <w:t>a) condotte e comportamenti non coerenti, anche nell’uso dei canali sociali informatici, con le finalità della comunità educante, nei rapporti con gli studenti e le studentesse.</w:t>
      </w:r>
    </w:p>
    <w:p w14:paraId="09771428" w14:textId="77777777" w:rsidR="00EE7B8B" w:rsidRDefault="00870D57">
      <w:pPr>
        <w:pStyle w:val="Standard"/>
        <w:jc w:val="both"/>
      </w:pPr>
      <w:r>
        <w:rPr>
          <w:rFonts w:ascii="Calibri-Bold" w:hAnsi="Calibri-Bold"/>
        </w:rPr>
        <w:t>3. Nelle more della sessione negoziale di cui al comma 1, rimane fermo quanto stabilito dal Capo IV Disciplina, Sezione I Sanzioni Disciplinari del d.lgs. n. 297 del 1994, incluse le seguenti modificazioni ed integrazioni all’articolo 498 comma 1 ove sono aggiunte le seguenti lettere:</w:t>
      </w:r>
    </w:p>
    <w:p w14:paraId="384CE752" w14:textId="77777777" w:rsidR="00EE7B8B" w:rsidRDefault="00870D57">
      <w:pPr>
        <w:pStyle w:val="Standard"/>
        <w:jc w:val="both"/>
      </w:pPr>
      <w:r>
        <w:rPr>
          <w:rFonts w:ascii="Calibri-Bold" w:hAnsi="Calibri-Bold"/>
        </w:rPr>
        <w:t>“g) per atti e comportamenti o molestie a carattere sessuale che riguardino gli studenti affidati alla vigilanza del personale, anche ove non sussista la gravità o la reiterazione;</w:t>
      </w:r>
    </w:p>
    <w:p w14:paraId="795315BE" w14:textId="77777777" w:rsidR="00EE7B8B" w:rsidRDefault="00870D57">
      <w:pPr>
        <w:pStyle w:val="Standard"/>
        <w:jc w:val="both"/>
      </w:pPr>
      <w:r>
        <w:rPr>
          <w:rFonts w:ascii="Calibri-Bold" w:hAnsi="Calibri-Bold"/>
        </w:rPr>
        <w:t>h) per dichiarazioni false e mendaci che abbiano l’effetto di far conseguire, al personale che le ha rese, un vantaggio nelle procedure di mobilità territoriale o professionale”.</w:t>
      </w:r>
    </w:p>
    <w:p w14:paraId="03761BE1" w14:textId="77777777" w:rsidR="00EE7B8B" w:rsidRDefault="00870D57">
      <w:pPr>
        <w:pStyle w:val="Standard"/>
        <w:jc w:val="both"/>
      </w:pPr>
      <w:r>
        <w:rPr>
          <w:rFonts w:ascii="Calibri-Bold" w:hAnsi="Calibri-Bold"/>
        </w:rPr>
        <w:t>4. Il presente articolo abroga l’art. 29 del CCNL 19/04/2018.</w:t>
      </w:r>
    </w:p>
    <w:sectPr w:rsidR="00EE7B8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4BE2" w14:textId="77777777" w:rsidR="001311AA" w:rsidRDefault="00870D57">
      <w:r>
        <w:separator/>
      </w:r>
    </w:p>
  </w:endnote>
  <w:endnote w:type="continuationSeparator" w:id="0">
    <w:p w14:paraId="6D7226D4" w14:textId="77777777" w:rsidR="001311AA" w:rsidRDefault="0087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Bol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31F8" w14:textId="77777777" w:rsidR="001311AA" w:rsidRDefault="00870D57">
      <w:r>
        <w:rPr>
          <w:color w:val="000000"/>
        </w:rPr>
        <w:separator/>
      </w:r>
    </w:p>
  </w:footnote>
  <w:footnote w:type="continuationSeparator" w:id="0">
    <w:p w14:paraId="389C5D16" w14:textId="77777777" w:rsidR="001311AA" w:rsidRDefault="00870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E7B8B"/>
    <w:rsid w:val="001311AA"/>
    <w:rsid w:val="005C3DE8"/>
    <w:rsid w:val="007D00A7"/>
    <w:rsid w:val="00870D57"/>
    <w:rsid w:val="00EE7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3889"/>
  <w15:docId w15:val="{D8D11CD2-167D-43D2-95E5-EFA55568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9"/>
    <w:qFormat/>
    <w:rsid w:val="005C3DE8"/>
    <w:pPr>
      <w:widowControl w:val="0"/>
      <w:suppressAutoHyphens w:val="0"/>
      <w:autoSpaceDN/>
      <w:textAlignment w:val="auto"/>
      <w:outlineLvl w:val="0"/>
    </w:pPr>
    <w:rPr>
      <w:rFonts w:ascii="Times New Roman" w:eastAsia="Times New Roman" w:hAnsi="Times New Roman" w:cstheme="minorBidi"/>
      <w:b/>
      <w:bCs/>
      <w:i/>
      <w:kern w:val="0"/>
      <w:sz w:val="28"/>
      <w:szCs w:val="28"/>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Titolo1Carattere">
    <w:name w:val="Titolo 1 Carattere"/>
    <w:basedOn w:val="Carpredefinitoparagrafo"/>
    <w:link w:val="Titolo1"/>
    <w:uiPriority w:val="99"/>
    <w:rsid w:val="005C3DE8"/>
    <w:rPr>
      <w:rFonts w:ascii="Times New Roman" w:eastAsia="Times New Roman" w:hAnsi="Times New Roman" w:cstheme="minorBidi"/>
      <w:b/>
      <w:bCs/>
      <w:i/>
      <w:kern w:val="0"/>
      <w:sz w:val="28"/>
      <w:szCs w:val="28"/>
      <w:lang w:val="en-US" w:eastAsia="en-US" w:bidi="ar-SA"/>
    </w:rPr>
  </w:style>
  <w:style w:type="character" w:styleId="Collegamentoipertestuale">
    <w:name w:val="Hyperlink"/>
    <w:basedOn w:val="Carpredefinitoparagrafo"/>
    <w:uiPriority w:val="99"/>
    <w:semiHidden/>
    <w:unhideWhenUsed/>
    <w:rsid w:val="005C3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cau</dc:creator>
  <cp:lastModifiedBy>Cinzia Fenu</cp:lastModifiedBy>
  <cp:revision>3</cp:revision>
  <cp:lastPrinted>2024-02-06T12:05:00Z</cp:lastPrinted>
  <dcterms:created xsi:type="dcterms:W3CDTF">2024-02-04T15:47:00Z</dcterms:created>
  <dcterms:modified xsi:type="dcterms:W3CDTF">2024-02-08T09:02:00Z</dcterms:modified>
</cp:coreProperties>
</file>